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41" w:rsidRDefault="00DC0A41" w:rsidP="00DC0A41">
      <w:pPr>
        <w:pStyle w:val="justifyleft"/>
        <w:rPr>
          <w:rStyle w:val="Strong"/>
        </w:rPr>
      </w:pPr>
      <w:r>
        <w:rPr>
          <w:rStyle w:val="Strong"/>
        </w:rPr>
        <w:t>Alzheimer's &amp; Dementia</w:t>
      </w:r>
    </w:p>
    <w:p w:rsidR="005F445E" w:rsidRDefault="005F445E" w:rsidP="00DC0A41">
      <w:pPr>
        <w:pStyle w:val="justifyleft"/>
      </w:pPr>
      <w:r w:rsidRPr="005F445E">
        <w:t>At-Home-Senior-Solutions-</w:t>
      </w:r>
      <w:proofErr w:type="spellStart"/>
      <w:r w:rsidRPr="005F445E">
        <w:t>Alzheimers</w:t>
      </w:r>
      <w:proofErr w:type="spellEnd"/>
      <w:r w:rsidRPr="005F445E">
        <w:t>-Care-and-Information</w:t>
      </w:r>
    </w:p>
    <w:p w:rsidR="005F445E" w:rsidRDefault="005F445E" w:rsidP="00DC0A41">
      <w:pPr>
        <w:pStyle w:val="justifyleft"/>
      </w:pPr>
      <w:r w:rsidRPr="005F445E">
        <w:t>Home-Instead-Benefiting-Those-With-Alzheimer's-and-Dementia</w:t>
      </w:r>
    </w:p>
    <w:p w:rsidR="005F445E" w:rsidRDefault="005F445E" w:rsidP="00DC0A41">
      <w:pPr>
        <w:pStyle w:val="justifyleft"/>
      </w:pPr>
      <w:r w:rsidRPr="005F445E">
        <w:t>Home-Instead-Red-Flags-for-Caregiver-Burnout</w:t>
      </w:r>
    </w:p>
    <w:p w:rsidR="009C4DD0" w:rsidRDefault="009C4DD0" w:rsidP="00DC0A41">
      <w:pPr>
        <w:pStyle w:val="justifyleft"/>
      </w:pPr>
      <w:r w:rsidRPr="009C4DD0">
        <w:t>Koelsch-Hampton-at-Salmon-Creek-Helping-Families-Make-Sense-of-Alzheimers-and-Dementia</w:t>
      </w:r>
    </w:p>
    <w:p w:rsidR="009C4DD0" w:rsidRDefault="009C4DD0" w:rsidP="00DC0A41">
      <w:pPr>
        <w:pStyle w:val="justifyleft"/>
      </w:pPr>
      <w:proofErr w:type="spellStart"/>
      <w:r w:rsidRPr="009C4DD0">
        <w:t>Koelsch</w:t>
      </w:r>
      <w:proofErr w:type="spellEnd"/>
      <w:r w:rsidRPr="009C4DD0">
        <w:t>-Hampton-Early-Onset-</w:t>
      </w:r>
      <w:proofErr w:type="spellStart"/>
      <w:r w:rsidRPr="009C4DD0">
        <w:t>Alzheimers</w:t>
      </w:r>
      <w:proofErr w:type="spellEnd"/>
    </w:p>
    <w:p w:rsidR="005F445E" w:rsidRDefault="005F445E" w:rsidP="00DC0A41">
      <w:pPr>
        <w:pStyle w:val="justifyleft"/>
      </w:pPr>
    </w:p>
    <w:p w:rsidR="00DC0A41" w:rsidRDefault="00DC0A41" w:rsidP="00DC0A41">
      <w:pPr>
        <w:pStyle w:val="justifyleft"/>
        <w:rPr>
          <w:rStyle w:val="Strong"/>
        </w:rPr>
      </w:pPr>
      <w:r>
        <w:rPr>
          <w:rStyle w:val="Strong"/>
        </w:rPr>
        <w:t>General Disease Management &amp; Prevention</w:t>
      </w:r>
    </w:p>
    <w:p w:rsidR="005F445E" w:rsidRDefault="005F445E" w:rsidP="00DC0A41">
      <w:pPr>
        <w:pStyle w:val="justifyleft"/>
      </w:pPr>
      <w:r w:rsidRPr="005F445E">
        <w:t>Capability-Homecare-Treating-Depression-with-Life-Enrichment</w:t>
      </w:r>
    </w:p>
    <w:p w:rsidR="005F445E" w:rsidRDefault="005F445E" w:rsidP="00DC0A41">
      <w:pPr>
        <w:pStyle w:val="justifyleft"/>
      </w:pPr>
      <w:r w:rsidRPr="005F445E">
        <w:t>Cascade-Park-Big-and-Loud</w:t>
      </w:r>
    </w:p>
    <w:p w:rsidR="005F445E" w:rsidRDefault="005F445E" w:rsidP="00DC0A41">
      <w:pPr>
        <w:pStyle w:val="justifyleft"/>
      </w:pPr>
      <w:r w:rsidRPr="005F445E">
        <w:t>Extendicare-Managing-Chronic-Obstructive-Pulmonary-Disease</w:t>
      </w:r>
    </w:p>
    <w:p w:rsidR="005F445E" w:rsidRDefault="005F445E" w:rsidP="009C4DD0">
      <w:pPr>
        <w:pStyle w:val="justifyleft"/>
        <w:tabs>
          <w:tab w:val="left" w:pos="1845"/>
        </w:tabs>
      </w:pPr>
      <w:r w:rsidRPr="005F445E">
        <w:t>Interim-CHF</w:t>
      </w:r>
      <w:r w:rsidR="009C4DD0">
        <w:tab/>
      </w:r>
    </w:p>
    <w:p w:rsidR="009C4DD0" w:rsidRDefault="009C4DD0" w:rsidP="009C4DD0">
      <w:pPr>
        <w:pStyle w:val="justifyleft"/>
        <w:tabs>
          <w:tab w:val="left" w:pos="1845"/>
        </w:tabs>
      </w:pPr>
      <w:r w:rsidRPr="009C4DD0">
        <w:t>LCC-McMinnville-Heart-Attack-Recovery</w:t>
      </w:r>
    </w:p>
    <w:p w:rsidR="005F445E" w:rsidRDefault="005F445E" w:rsidP="00DC0A41">
      <w:pPr>
        <w:pStyle w:val="justifyleft"/>
      </w:pPr>
    </w:p>
    <w:p w:rsidR="00DC0A41" w:rsidRDefault="00DC0A41" w:rsidP="00DC0A41">
      <w:pPr>
        <w:pStyle w:val="justifyleft"/>
      </w:pPr>
      <w:r>
        <w:rPr>
          <w:rStyle w:val="Strong"/>
        </w:rPr>
        <w:t>Housing &amp; Home Health</w:t>
      </w:r>
    </w:p>
    <w:p w:rsidR="00DC0A41" w:rsidRPr="007455C9" w:rsidRDefault="005F445E" w:rsidP="009F0D4D">
      <w:pPr>
        <w:pStyle w:val="justifyleft"/>
        <w:rPr>
          <w:color w:val="FF0000"/>
        </w:rPr>
      </w:pPr>
      <w:r w:rsidRPr="007455C9">
        <w:rPr>
          <w:color w:val="FF0000"/>
        </w:rPr>
        <w:t>Fountain-Plaza-Is-it-Time-for-Retirement-Living</w:t>
      </w:r>
    </w:p>
    <w:p w:rsidR="005F445E" w:rsidRPr="009F0D4D" w:rsidRDefault="005F445E" w:rsidP="009F0D4D">
      <w:pPr>
        <w:pStyle w:val="justifyleft"/>
      </w:pPr>
      <w:r w:rsidRPr="009F0D4D">
        <w:t>Home-Instead-How-To-Choose-an-In-Home-Care-Provider</w:t>
      </w:r>
    </w:p>
    <w:p w:rsidR="009C4DD0" w:rsidRDefault="009C4DD0" w:rsidP="009F0D4D">
      <w:pPr>
        <w:pStyle w:val="justifyleft"/>
      </w:pPr>
      <w:r w:rsidRPr="009F0D4D">
        <w:t>Interim-Health-Care-OHCA-In-Home-Care-Update</w:t>
      </w:r>
    </w:p>
    <w:p w:rsidR="009F0D4D" w:rsidRPr="009F0D4D" w:rsidRDefault="009F0D4D" w:rsidP="009F0D4D">
      <w:pPr>
        <w:pStyle w:val="justifyleft"/>
      </w:pPr>
      <w:r w:rsidRPr="009F0D4D">
        <w:t>Take-Care-Home-Health-Understanding-Homebound-Status</w:t>
      </w:r>
    </w:p>
    <w:p w:rsidR="005F445E" w:rsidRDefault="005F445E" w:rsidP="00EF68DF">
      <w:pPr>
        <w:spacing w:line="300" w:lineRule="atLeast"/>
        <w:rPr>
          <w:rFonts w:ascii="Marker Felt" w:eastAsia="Times New Roman" w:hAnsi="Marker Felt"/>
          <w:color w:val="000000"/>
          <w:sz w:val="27"/>
          <w:szCs w:val="27"/>
        </w:rPr>
      </w:pPr>
    </w:p>
    <w:p w:rsidR="00DC0A41" w:rsidRDefault="00DC0A41" w:rsidP="00DC0A41">
      <w:pPr>
        <w:pStyle w:val="justifyleft"/>
        <w:rPr>
          <w:rStyle w:val="Strong"/>
        </w:rPr>
      </w:pPr>
      <w:r>
        <w:rPr>
          <w:rStyle w:val="Strong"/>
        </w:rPr>
        <w:t>Overall Care &amp; Health</w:t>
      </w:r>
    </w:p>
    <w:p w:rsidR="005F445E" w:rsidRDefault="005F445E" w:rsidP="00DC0A41">
      <w:pPr>
        <w:pStyle w:val="justifyleft"/>
      </w:pPr>
      <w:r w:rsidRPr="005F445E">
        <w:t>All-Care-Home-Care-Seniors-Their-Medication-and-Safety</w:t>
      </w:r>
    </w:p>
    <w:p w:rsidR="009F0D4D" w:rsidRDefault="009F0D4D" w:rsidP="009F0D4D">
      <w:pPr>
        <w:pStyle w:val="justifyleft"/>
      </w:pPr>
      <w:r w:rsidRPr="005F445E">
        <w:t>Accent-Care-Late-Life-Depression</w:t>
      </w:r>
    </w:p>
    <w:p w:rsidR="005F445E" w:rsidRDefault="005F445E" w:rsidP="00DC0A41">
      <w:pPr>
        <w:pStyle w:val="justifyleft"/>
      </w:pPr>
      <w:r w:rsidRPr="005F445E">
        <w:lastRenderedPageBreak/>
        <w:t>Avamere-10-Commandments-of-Safety</w:t>
      </w:r>
    </w:p>
    <w:p w:rsidR="005F445E" w:rsidRDefault="005F445E" w:rsidP="00DC0A41">
      <w:pPr>
        <w:pStyle w:val="justifyleft"/>
      </w:pPr>
      <w:r w:rsidRPr="005F445E">
        <w:t>CareOregon-Release-Time-2-Care</w:t>
      </w:r>
    </w:p>
    <w:p w:rsidR="005F445E" w:rsidRDefault="005F445E" w:rsidP="005F445E">
      <w:pPr>
        <w:pStyle w:val="justifyleft"/>
      </w:pPr>
      <w:r w:rsidRPr="005F445E">
        <w:t>Clearwater-Springs-Horticulture-Therapy</w:t>
      </w:r>
    </w:p>
    <w:p w:rsidR="005F445E" w:rsidRDefault="005F445E" w:rsidP="005F445E">
      <w:pPr>
        <w:pStyle w:val="justifyleft"/>
      </w:pPr>
      <w:r w:rsidRPr="005F445E">
        <w:t>French-Prairie-Pet-Therapy</w:t>
      </w:r>
    </w:p>
    <w:p w:rsidR="005F445E" w:rsidRPr="007455C9" w:rsidRDefault="005F445E" w:rsidP="005F445E">
      <w:pPr>
        <w:pStyle w:val="justifyleft"/>
        <w:rPr>
          <w:color w:val="FF0000"/>
        </w:rPr>
      </w:pPr>
      <w:r w:rsidRPr="007455C9">
        <w:rPr>
          <w:color w:val="FF0000"/>
        </w:rPr>
        <w:t>Horton-Plaza-Benefits-of-Senior-Socialization</w:t>
      </w:r>
    </w:p>
    <w:p w:rsidR="00A17C35" w:rsidRDefault="00A17C35" w:rsidP="005F445E">
      <w:pPr>
        <w:pStyle w:val="justifyleft"/>
      </w:pPr>
      <w:r w:rsidRPr="00A17C35">
        <w:t>Russellville-Park-Prevailing-Health</w:t>
      </w:r>
    </w:p>
    <w:p w:rsidR="009F0D4D" w:rsidRDefault="009F0D4D" w:rsidP="005F445E">
      <w:pPr>
        <w:pStyle w:val="justifyleft"/>
      </w:pPr>
      <w:proofErr w:type="spellStart"/>
      <w:r w:rsidRPr="009F0D4D">
        <w:t>Timberwood</w:t>
      </w:r>
      <w:proofErr w:type="spellEnd"/>
      <w:r w:rsidRPr="009F0D4D">
        <w:t>-Court-Enhancing-Procedural-Memory</w:t>
      </w:r>
    </w:p>
    <w:p w:rsidR="009F0D4D" w:rsidRPr="008F3FC5" w:rsidRDefault="009F0D4D" w:rsidP="005F445E">
      <w:pPr>
        <w:pStyle w:val="justifyleft"/>
        <w:rPr>
          <w:color w:val="FF0000"/>
        </w:rPr>
      </w:pPr>
      <w:r w:rsidRPr="008F3FC5">
        <w:rPr>
          <w:color w:val="FF0000"/>
        </w:rPr>
        <w:t>Twin-Creeks-The-Importance-of-Staying-Active-Mentally-and-Physically</w:t>
      </w:r>
    </w:p>
    <w:p w:rsidR="009F0D4D" w:rsidRDefault="009F0D4D" w:rsidP="005F445E">
      <w:pPr>
        <w:pStyle w:val="justifyleft"/>
      </w:pPr>
      <w:r w:rsidRPr="009F0D4D">
        <w:t>Van-Mall-Hip-Fractures-in-the-Elderly</w:t>
      </w:r>
    </w:p>
    <w:p w:rsidR="005F445E" w:rsidRDefault="005F445E" w:rsidP="00DC0A41">
      <w:pPr>
        <w:pStyle w:val="justifyleft"/>
      </w:pPr>
    </w:p>
    <w:p w:rsidR="00DC0A41" w:rsidRDefault="00DC0A41" w:rsidP="00EF68DF">
      <w:pPr>
        <w:spacing w:line="300" w:lineRule="atLeast"/>
        <w:rPr>
          <w:rFonts w:ascii="Marker Felt" w:eastAsia="Times New Roman" w:hAnsi="Marker Felt"/>
          <w:color w:val="000000"/>
          <w:sz w:val="27"/>
          <w:szCs w:val="27"/>
        </w:rPr>
      </w:pPr>
    </w:p>
    <w:p w:rsidR="00DC0A41" w:rsidRDefault="00DC0A41" w:rsidP="00DC0A41">
      <w:pPr>
        <w:pStyle w:val="justifyleft"/>
        <w:rPr>
          <w:rStyle w:val="Strong"/>
        </w:rPr>
      </w:pPr>
      <w:r>
        <w:rPr>
          <w:rStyle w:val="Strong"/>
        </w:rPr>
        <w:t>Readmission &amp; Hospitalization</w:t>
      </w:r>
    </w:p>
    <w:p w:rsidR="005F445E" w:rsidRDefault="005F445E" w:rsidP="00DC0A41">
      <w:pPr>
        <w:pStyle w:val="justifyleft"/>
      </w:pPr>
      <w:r w:rsidRPr="005F445E">
        <w:t>Assured-Home-Health-Strategies-to-Reduce-Readmissions</w:t>
      </w:r>
    </w:p>
    <w:p w:rsidR="009F0D4D" w:rsidRPr="008F3FC5" w:rsidRDefault="009F0D4D" w:rsidP="00DC0A41">
      <w:pPr>
        <w:pStyle w:val="justifyleft"/>
        <w:rPr>
          <w:color w:val="FF0000"/>
        </w:rPr>
      </w:pPr>
      <w:proofErr w:type="spellStart"/>
      <w:r w:rsidRPr="008F3FC5">
        <w:rPr>
          <w:color w:val="FF0000"/>
        </w:rPr>
        <w:t>Vibra</w:t>
      </w:r>
      <w:proofErr w:type="spellEnd"/>
      <w:r w:rsidRPr="008F3FC5">
        <w:rPr>
          <w:color w:val="FF0000"/>
        </w:rPr>
        <w:t>-Specialty-Hospital-Levels-of-Care</w:t>
      </w:r>
    </w:p>
    <w:p w:rsidR="00DC0A41" w:rsidRDefault="00DC0A41" w:rsidP="00EF68DF">
      <w:pPr>
        <w:spacing w:line="300" w:lineRule="atLeast"/>
        <w:rPr>
          <w:rFonts w:ascii="Marker Felt" w:eastAsia="Times New Roman" w:hAnsi="Marker Felt"/>
          <w:color w:val="000000"/>
          <w:sz w:val="27"/>
          <w:szCs w:val="27"/>
        </w:rPr>
      </w:pPr>
    </w:p>
    <w:p w:rsidR="00DC0A41" w:rsidRDefault="00DC0A41" w:rsidP="00DC0A41">
      <w:pPr>
        <w:pStyle w:val="justifyleft"/>
        <w:rPr>
          <w:rStyle w:val="Strong"/>
        </w:rPr>
      </w:pPr>
      <w:r>
        <w:rPr>
          <w:rStyle w:val="Strong"/>
        </w:rPr>
        <w:t>Miscellaneous</w:t>
      </w:r>
    </w:p>
    <w:p w:rsidR="005F445E" w:rsidRDefault="005F445E" w:rsidP="00DC0A41">
      <w:pPr>
        <w:pStyle w:val="justifyleft"/>
      </w:pPr>
      <w:proofErr w:type="spellStart"/>
      <w:r w:rsidRPr="005F445E">
        <w:t>AdultCarePro</w:t>
      </w:r>
      <w:proofErr w:type="spellEnd"/>
      <w:r w:rsidRPr="005F445E">
        <w:t>-Elder-and-Vulnerable-Adult-Referral-Agency-Act</w:t>
      </w:r>
    </w:p>
    <w:p w:rsidR="009C4DD0" w:rsidRDefault="009C4DD0" w:rsidP="00DC0A41">
      <w:pPr>
        <w:pStyle w:val="justifyleft"/>
      </w:pPr>
      <w:r w:rsidRPr="009C4DD0">
        <w:t>Prestige-Antibiotic-Stewardship</w:t>
      </w:r>
    </w:p>
    <w:p w:rsidR="009C4DD0" w:rsidRDefault="009C4DD0" w:rsidP="00DC0A41">
      <w:pPr>
        <w:pStyle w:val="justifyleft"/>
      </w:pPr>
      <w:r w:rsidRPr="009C4DD0">
        <w:t>Providence-Benedictine-Farm-to-Fork</w:t>
      </w:r>
    </w:p>
    <w:p w:rsidR="009F0D4D" w:rsidRDefault="009F0D4D" w:rsidP="009F0D4D">
      <w:pPr>
        <w:pStyle w:val="justifyleft"/>
      </w:pPr>
      <w:proofErr w:type="spellStart"/>
      <w:r w:rsidRPr="005F445E">
        <w:t>Calaroga</w:t>
      </w:r>
      <w:proofErr w:type="spellEnd"/>
      <w:r w:rsidRPr="005F445E">
        <w:t>-Terrace-Coordinated-Care-Organizations</w:t>
      </w:r>
    </w:p>
    <w:p w:rsidR="00A17C35" w:rsidRDefault="00A17C35" w:rsidP="00DC0A41">
      <w:pPr>
        <w:pStyle w:val="justifyleft"/>
      </w:pPr>
      <w:r w:rsidRPr="009F0D4D">
        <w:t>Signature-Hospice-End-of-Life-Ethics</w:t>
      </w:r>
      <w:r w:rsidR="009F0D4D">
        <w:t xml:space="preserve"> </w:t>
      </w:r>
    </w:p>
    <w:p w:rsidR="009F0D4D" w:rsidRPr="008F3FC5" w:rsidRDefault="009F0D4D" w:rsidP="00DC0A41">
      <w:pPr>
        <w:pStyle w:val="justifyleft"/>
        <w:rPr>
          <w:color w:val="FF0000"/>
        </w:rPr>
      </w:pPr>
      <w:bookmarkStart w:id="0" w:name="_GoBack"/>
      <w:r w:rsidRPr="008F3FC5">
        <w:rPr>
          <w:color w:val="FF0000"/>
        </w:rPr>
        <w:t>The-Suites-Assisted-Living-Benefits-of-Consistent-Staffing-Assignments</w:t>
      </w:r>
    </w:p>
    <w:p w:rsidR="009F0D4D" w:rsidRPr="008F3FC5" w:rsidRDefault="009F0D4D" w:rsidP="00DC0A41">
      <w:pPr>
        <w:pStyle w:val="justifyleft"/>
        <w:rPr>
          <w:color w:val="FF0000"/>
        </w:rPr>
      </w:pPr>
      <w:r w:rsidRPr="008F3FC5">
        <w:rPr>
          <w:color w:val="FF0000"/>
        </w:rPr>
        <w:t>TLC-Solutions-Benefits-of-Senior-Move-Managers</w:t>
      </w:r>
    </w:p>
    <w:bookmarkEnd w:id="0"/>
    <w:p w:rsidR="009F0D4D" w:rsidRDefault="009F0D4D" w:rsidP="00DC0A41">
      <w:pPr>
        <w:pStyle w:val="justifyleft"/>
      </w:pPr>
      <w:r w:rsidRPr="009F0D4D">
        <w:lastRenderedPageBreak/>
        <w:t>Wilson-House-Benefits-of-Intergenerational-Programs</w:t>
      </w:r>
    </w:p>
    <w:p w:rsidR="00DC0A41" w:rsidRDefault="00DC0A41" w:rsidP="00EF68DF">
      <w:pPr>
        <w:spacing w:line="300" w:lineRule="atLeast"/>
        <w:rPr>
          <w:rFonts w:ascii="Marker Felt" w:eastAsia="Times New Roman" w:hAnsi="Marker Felt"/>
          <w:color w:val="000000"/>
          <w:sz w:val="27"/>
          <w:szCs w:val="27"/>
        </w:rPr>
      </w:pPr>
    </w:p>
    <w:p w:rsidR="00EF68DF" w:rsidRPr="00EF68DF" w:rsidRDefault="00EF68DF" w:rsidP="00EF68DF"/>
    <w:sectPr w:rsidR="00EF68DF" w:rsidRPr="00EF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r Fe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DF"/>
    <w:rsid w:val="00393CA9"/>
    <w:rsid w:val="004850FA"/>
    <w:rsid w:val="005F445E"/>
    <w:rsid w:val="007455C9"/>
    <w:rsid w:val="008F3FC5"/>
    <w:rsid w:val="009C4DD0"/>
    <w:rsid w:val="009F0D4D"/>
    <w:rsid w:val="00A17C35"/>
    <w:rsid w:val="00DC0A41"/>
    <w:rsid w:val="00EB5A55"/>
    <w:rsid w:val="00EF68DF"/>
    <w:rsid w:val="00F1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tifyleft">
    <w:name w:val="justifyleft"/>
    <w:basedOn w:val="Normal"/>
    <w:rsid w:val="00DC0A4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DC0A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tifyleft">
    <w:name w:val="justifyleft"/>
    <w:basedOn w:val="Normal"/>
    <w:rsid w:val="00DC0A4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DC0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Bilka</dc:creator>
  <cp:lastModifiedBy>Jill Bilka</cp:lastModifiedBy>
  <cp:revision>5</cp:revision>
  <dcterms:created xsi:type="dcterms:W3CDTF">2013-12-12T01:19:00Z</dcterms:created>
  <dcterms:modified xsi:type="dcterms:W3CDTF">2013-12-12T06:46:00Z</dcterms:modified>
</cp:coreProperties>
</file>